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168E0" w14:textId="77777777" w:rsidR="00076C9B" w:rsidRDefault="00076C9B" w:rsidP="0086016E"/>
    <w:p w14:paraId="57414772" w14:textId="2071F642" w:rsidR="0086016E" w:rsidRDefault="0086016E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 w:rsidRPr="0086016E">
        <w:rPr>
          <w:rFonts w:ascii="Times New Roman" w:eastAsia="Times New Roman" w:hAnsi="Times New Roman"/>
          <w:color w:val="auto"/>
          <w:sz w:val="24"/>
          <w:lang w:eastAsia="en-US" w:bidi="x-none"/>
        </w:rPr>
        <w:t>Project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: HRSG Decommissioning and Catalyst Removal and Disposal</w:t>
      </w:r>
    </w:p>
    <w:p w14:paraId="7E5EB3CE" w14:textId="77777777" w:rsidR="0086016E" w:rsidRDefault="0086016E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</w:p>
    <w:p w14:paraId="1224EC69" w14:textId="77777777" w:rsidR="0086016E" w:rsidRDefault="0086016E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Equipment: </w:t>
      </w:r>
      <w:r w:rsidR="00321452">
        <w:rPr>
          <w:rFonts w:ascii="Times New Roman" w:eastAsia="Times New Roman" w:hAnsi="Times New Roman"/>
          <w:color w:val="auto"/>
          <w:sz w:val="24"/>
          <w:lang w:eastAsia="en-US" w:bidi="x-none"/>
        </w:rPr>
        <w:t>75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</w:t>
      </w:r>
      <w:r w:rsidR="00EF6F98">
        <w:rPr>
          <w:rFonts w:ascii="Times New Roman" w:eastAsia="Times New Roman" w:hAnsi="Times New Roman"/>
          <w:color w:val="auto"/>
          <w:sz w:val="24"/>
          <w:lang w:eastAsia="en-US" w:bidi="x-none"/>
        </w:rPr>
        <w:t>&amp;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300 </w:t>
      </w:r>
      <w:proofErr w:type="spellStart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tonne</w:t>
      </w:r>
      <w:proofErr w:type="spellEnd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Cranes</w:t>
      </w:r>
    </w:p>
    <w:p w14:paraId="2D8E3450" w14:textId="77777777" w:rsidR="0086016E" w:rsidRDefault="0086016E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</w:p>
    <w:p w14:paraId="4379B56F" w14:textId="77777777" w:rsidR="0086016E" w:rsidRDefault="0086016E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Activity:</w:t>
      </w:r>
    </w:p>
    <w:p w14:paraId="2F322B08" w14:textId="025194EE" w:rsidR="0086016E" w:rsidRDefault="003A57FB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noProof/>
          <w:color w:val="auto"/>
          <w:sz w:val="20"/>
          <w:lang w:eastAsia="en-US" w:bidi="x-none"/>
        </w:rPr>
        <w:drawing>
          <wp:anchor distT="0" distB="0" distL="114300" distR="114300" simplePos="0" relativeHeight="251658240" behindDoc="1" locked="0" layoutInCell="1" allowOverlap="1" wp14:anchorId="0EA3F472" wp14:editId="1B05E799">
            <wp:simplePos x="0" y="0"/>
            <wp:positionH relativeFrom="column">
              <wp:posOffset>3032760</wp:posOffset>
            </wp:positionH>
            <wp:positionV relativeFrom="paragraph">
              <wp:posOffset>176530</wp:posOffset>
            </wp:positionV>
            <wp:extent cx="2839085" cy="2483485"/>
            <wp:effectExtent l="0" t="0" r="5715" b="5715"/>
            <wp:wrapTight wrapText="bothSides">
              <wp:wrapPolygon edited="0">
                <wp:start x="0" y="21600"/>
                <wp:lineTo x="21547" y="21600"/>
                <wp:lineTo x="21547" y="61"/>
                <wp:lineTo x="0" y="61"/>
                <wp:lineTo x="0" y="21600"/>
              </wp:wrapPolygon>
            </wp:wrapTight>
            <wp:docPr id="1611070162" name="Picture 5" descr="A crane on a building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070162" name="Picture 5" descr="A crane on a building&#10;&#10;AI-generated content may be incorrect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839085" cy="2483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A9A53A" w14:textId="1A59CE71" w:rsidR="00321452" w:rsidRDefault="0086016E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TMP Refining was contracted to provide decommissioning services for a shuttered gas-fired combustion turbine in Southern California. As the power generation market continues to add renewable sources of power like wind and solar, gas fired power plants are </w:t>
      </w:r>
      <w:r w:rsidR="00321452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beginning to be shuttered and replaced. 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In California, gas fired power plants are also being shuttered for more efficient quick start turbine plants. </w:t>
      </w:r>
      <w:r w:rsidR="00321452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Companies must decide what to do with their mothballed plants and the assets </w:t>
      </w:r>
      <w:r w:rsidR="000577C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contained </w:t>
      </w:r>
      <w:r w:rsidR="00321452">
        <w:rPr>
          <w:rFonts w:ascii="Times New Roman" w:eastAsia="Times New Roman" w:hAnsi="Times New Roman"/>
          <w:color w:val="auto"/>
          <w:sz w:val="24"/>
          <w:lang w:eastAsia="en-US" w:bidi="x-none"/>
        </w:rPr>
        <w:t>within.</w:t>
      </w:r>
    </w:p>
    <w:p w14:paraId="31347B50" w14:textId="257AC7D0" w:rsidR="00321452" w:rsidRDefault="00321452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</w:p>
    <w:p w14:paraId="456B6C5A" w14:textId="77777777" w:rsidR="00321452" w:rsidRDefault="00321452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TMP Refining was chosen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for this project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based on our expertise</w:t>
      </w:r>
      <w:r w:rsidR="002F15B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,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proven field success performing plant decommissioning and dismantling</w:t>
      </w:r>
      <w:r w:rsidR="009226A0">
        <w:rPr>
          <w:rFonts w:ascii="Times New Roman" w:eastAsia="Times New Roman" w:hAnsi="Times New Roman"/>
          <w:color w:val="auto"/>
          <w:sz w:val="24"/>
          <w:lang w:eastAsia="en-US" w:bidi="x-none"/>
        </w:rPr>
        <w:t>, and our proprietary precious metal recovery process.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TMP Refining’s scope of work included removal of 2 layers of </w:t>
      </w:r>
      <w:proofErr w:type="spellStart"/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>Cormetech</w:t>
      </w:r>
      <w:proofErr w:type="spellEnd"/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SCR catalyst modules, removal of 100 blocks of BASF Co catalyst modules, and reclamation of the metals contained on the catalyst. </w:t>
      </w:r>
    </w:p>
    <w:p w14:paraId="45288CB1" w14:textId="77777777" w:rsidR="00321452" w:rsidRDefault="00321452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</w:p>
    <w:p w14:paraId="3FAA2D87" w14:textId="77777777" w:rsidR="00321452" w:rsidRDefault="00321452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TMP Refining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open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>ed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the HRSG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from the top, removing the steel structure blocking access to the catalyst chamber.  Opening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the HRSG and remov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>ing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the SCR blocks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required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TMP Refining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to bring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in a 75 </w:t>
      </w:r>
      <w:proofErr w:type="spellStart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tonne</w:t>
      </w:r>
      <w:proofErr w:type="spellEnd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and 300 </w:t>
      </w:r>
      <w:proofErr w:type="spellStart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tonne</w:t>
      </w:r>
      <w:proofErr w:type="spellEnd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</w:t>
      </w:r>
      <w:proofErr w:type="gramStart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crane</w:t>
      </w:r>
      <w:proofErr w:type="gramEnd"/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to perform the work. 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With a crew of four workers,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TMP Refining opened the HRSG, and removed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>2 layers of SCR catalyst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modules,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500 cubic feet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in total over a </w:t>
      </w:r>
      <w:r w:rsidR="00C45747">
        <w:rPr>
          <w:rFonts w:ascii="Times New Roman" w:eastAsia="Times New Roman" w:hAnsi="Times New Roman"/>
          <w:color w:val="auto"/>
          <w:sz w:val="24"/>
          <w:lang w:eastAsia="en-US" w:bidi="x-none"/>
        </w:rPr>
        <w:t>3</w:t>
      </w:r>
      <w:r w:rsidR="00134753">
        <w:rPr>
          <w:rFonts w:ascii="Times New Roman" w:eastAsia="Times New Roman" w:hAnsi="Times New Roman"/>
          <w:color w:val="auto"/>
          <w:sz w:val="24"/>
          <w:lang w:eastAsia="en-US" w:bidi="x-none"/>
        </w:rPr>
        <w:t>-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day period.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Next, TMP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Refining installed scaffolding</w:t>
      </w:r>
      <w:r w:rsidR="00A46A0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within the HRSG reactor for the CO catalyst bed dismantling. Over the same </w:t>
      </w:r>
      <w:r w:rsidR="00C45747">
        <w:rPr>
          <w:rFonts w:ascii="Times New Roman" w:eastAsia="Times New Roman" w:hAnsi="Times New Roman"/>
          <w:color w:val="auto"/>
          <w:sz w:val="24"/>
          <w:lang w:eastAsia="en-US" w:bidi="x-none"/>
        </w:rPr>
        <w:t>3</w:t>
      </w:r>
      <w:r w:rsidR="00134753">
        <w:rPr>
          <w:rFonts w:ascii="Times New Roman" w:eastAsia="Times New Roman" w:hAnsi="Times New Roman"/>
          <w:color w:val="auto"/>
          <w:sz w:val="24"/>
          <w:lang w:eastAsia="en-US" w:bidi="x-none"/>
        </w:rPr>
        <w:t>-</w:t>
      </w:r>
      <w:r w:rsidR="00A46A0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day period,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a crew of 6 confined space entry certified workers </w:t>
      </w:r>
      <w:r w:rsidR="00A46A0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completed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dismantling the</w:t>
      </w:r>
      <w:r w:rsidR="00A46A0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CO catalyst bed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, re</w:t>
      </w:r>
      <w:r w:rsidR="00A46A0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moving over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200 cubic feet</w:t>
      </w:r>
      <w:r w:rsidR="00A46A0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from the </w:t>
      </w:r>
      <w:r w:rsidR="00134753">
        <w:rPr>
          <w:rFonts w:ascii="Times New Roman" w:eastAsia="Times New Roman" w:hAnsi="Times New Roman"/>
          <w:color w:val="auto"/>
          <w:sz w:val="24"/>
          <w:lang w:eastAsia="en-US" w:bidi="x-none"/>
        </w:rPr>
        <w:t>40-foot-tall</w:t>
      </w:r>
      <w:r w:rsidR="00A46A0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bed.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Workers used a series of come-a-longs and pullies to bring each module weighing 125 pounds safely to the ground. </w:t>
      </w:r>
    </w:p>
    <w:p w14:paraId="7EA17BF7" w14:textId="77777777" w:rsidR="00A46A0D" w:rsidRDefault="00A46A0D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</w:p>
    <w:p w14:paraId="141DB077" w14:textId="2D5C9395" w:rsidR="00ED5404" w:rsidRDefault="00A46A0D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lastRenderedPageBreak/>
        <w:t xml:space="preserve">TMP Refining was then tasked with disposing of all the </w:t>
      </w:r>
      <w:proofErr w:type="spellStart"/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>Coremtech</w:t>
      </w:r>
      <w:proofErr w:type="spellEnd"/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SCR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catalyst in accordance with EPA regulations.  California has unique regulations restricting what materials can be disposed in the state</w:t>
      </w:r>
      <w:r w:rsidR="000577C8">
        <w:rPr>
          <w:rFonts w:ascii="Times New Roman" w:eastAsia="Times New Roman" w:hAnsi="Times New Roman"/>
          <w:color w:val="auto"/>
          <w:sz w:val="24"/>
          <w:lang w:eastAsia="en-US" w:bidi="x-none"/>
        </w:rPr>
        <w:t>’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s landfills. </w:t>
      </w:r>
      <w:r w:rsidR="001811E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The state of California </w:t>
      </w:r>
      <w:r w:rsidR="003A57FB">
        <w:rPr>
          <w:rFonts w:ascii="Times New Roman" w:eastAsia="Times New Roman" w:hAnsi="Times New Roman"/>
          <w:noProof/>
          <w:color w:val="auto"/>
          <w:sz w:val="24"/>
          <w:lang w:eastAsia="en-US" w:bidi="x-none"/>
        </w:rPr>
        <w:drawing>
          <wp:anchor distT="0" distB="0" distL="114300" distR="114300" simplePos="0" relativeHeight="251659264" behindDoc="1" locked="0" layoutInCell="1" allowOverlap="1" wp14:anchorId="497A2DCC" wp14:editId="61D3F778">
            <wp:simplePos x="0" y="0"/>
            <wp:positionH relativeFrom="column">
              <wp:posOffset>-415290</wp:posOffset>
            </wp:positionH>
            <wp:positionV relativeFrom="paragraph">
              <wp:posOffset>414020</wp:posOffset>
            </wp:positionV>
            <wp:extent cx="3284220" cy="2462530"/>
            <wp:effectExtent l="4445" t="0" r="0" b="0"/>
            <wp:wrapTight wrapText="bothSides">
              <wp:wrapPolygon edited="0">
                <wp:start x="29" y="21639"/>
                <wp:lineTo x="21496" y="21639"/>
                <wp:lineTo x="21496" y="139"/>
                <wp:lineTo x="29" y="139"/>
                <wp:lineTo x="29" y="21639"/>
              </wp:wrapPolygon>
            </wp:wrapTight>
            <wp:docPr id="1002738574" name="Picture 6" descr="A crane on a construction 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738574" name="Picture 6" descr="A crane on a construction site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284220" cy="2462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11E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requires that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>certain</w:t>
      </w:r>
      <w:r w:rsidR="001811E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industrial waste be </w:t>
      </w:r>
      <w:r w:rsidR="005F1293">
        <w:rPr>
          <w:rFonts w:ascii="Times New Roman" w:eastAsia="Times New Roman" w:hAnsi="Times New Roman"/>
          <w:color w:val="auto"/>
          <w:sz w:val="24"/>
          <w:lang w:eastAsia="en-US" w:bidi="x-none"/>
        </w:rPr>
        <w:t>analyzed</w:t>
      </w:r>
      <w:r w:rsidR="001811E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and profiled before it can be disposed of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in a landfill</w:t>
      </w:r>
      <w:r w:rsidR="001811E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. 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To</w:t>
      </w:r>
      <w:r w:rsidR="001811E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meet California state regulations, TMP Refining had all the SCR catalyst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analyzed</w:t>
      </w:r>
      <w:r w:rsidR="001811E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with a mass spectrometer to determine the elemental breakdown of the SCR.  The SCR catalyst was found to be coated with the vanadium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, barium, and other trace elements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.  California’s Department of Toxic Substance Control </w:t>
      </w:r>
      <w:r w:rsidR="00B34B8F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(DTSC)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considers metal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s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like vanadium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and barium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to be hazardous (</w:t>
      </w:r>
      <w:hyperlink r:id="rId9" w:history="1">
        <w:r w:rsidR="002A0122" w:rsidRPr="00BE663A">
          <w:rPr>
            <w:rStyle w:val="Hyperlink"/>
            <w:rFonts w:ascii="Times New Roman" w:eastAsia="Times New Roman" w:hAnsi="Times New Roman"/>
            <w:sz w:val="24"/>
            <w:lang w:eastAsia="en-US" w:bidi="x-none"/>
          </w:rPr>
          <w:t>http://www.dtsc.ca.gov/HazardousWaste/index-old.cfm</w:t>
        </w:r>
      </w:hyperlink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>).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After the initial analysis was completed, TMP Refining had </w:t>
      </w:r>
      <w:proofErr w:type="spellStart"/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Zelco</w:t>
      </w:r>
      <w:proofErr w:type="spellEnd"/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Laboratory in Los Angeles perform a fish oil test on the SCR catalyst.  The fish oil test is performed over a </w:t>
      </w:r>
      <w:proofErr w:type="gramStart"/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96 hour</w:t>
      </w:r>
      <w:proofErr w:type="gramEnd"/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period to determine the reactive nature of the elements on the SCR catalyst. The mass spectrometer analysis and fish oil test confirmed that the SCR catalyst removed from the HRSG c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ould not be 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lawfully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disposed of in the state of California. TMP Refining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relied on its experience and 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expertise </w:t>
      </w:r>
      <w:r w:rsidR="002A0122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in catalyst disposal 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to find a lawful way to dispose of the SCR.  TMP Refining worked with the Copper Mountain Landfill in Yuma, AZ to dispose of the SCR catalyst. 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Disposal of the catalyst out of state required 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a special waste profile as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specified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</w:t>
      </w:r>
      <w:r w:rsidR="00B34B8F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by the DTSC 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for disposal of industrial waste.  The special waste profile included an elemental breakdown of the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SCR catalyst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, a physical description of the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catalyst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, a certified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description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of the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power plant operations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>, a description of the waste stream the SCR catalyst was exposed to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within the HRSG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, and a </w:t>
      </w:r>
      <w:proofErr w:type="gramStart"/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>third party</w:t>
      </w:r>
      <w:proofErr w:type="gramEnd"/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authorization form because TMP Refining is not the generator of the SCR catalyst.  With the </w:t>
      </w:r>
      <w:proofErr w:type="gramStart"/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>paper work</w:t>
      </w:r>
      <w:proofErr w:type="gramEnd"/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completed, TMP Refining was able to move forward with the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disp</w:t>
      </w:r>
      <w:r w:rsidR="00EB2AD8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osal at the Copper Mountain Landfill.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TMP Refining</w:t>
      </w:r>
      <w:r w:rsidR="007F418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</w:t>
      </w:r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was able to complete the entire job with </w:t>
      </w:r>
      <w:proofErr w:type="gramStart"/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>no</w:t>
      </w:r>
      <w:proofErr w:type="gramEnd"/>
      <w:r w:rsidR="004C12AD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out of pocket cost for the customer.  TMP Refining’s proposal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allowed the customer to extract value from the BASF </w:t>
      </w:r>
      <w:r w:rsidR="009A3370">
        <w:rPr>
          <w:rFonts w:ascii="Times New Roman" w:eastAsia="Times New Roman" w:hAnsi="Times New Roman"/>
          <w:color w:val="auto"/>
          <w:sz w:val="24"/>
          <w:lang w:eastAsia="en-US" w:bidi="x-none"/>
        </w:rPr>
        <w:t>CO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catalyst modules to cover the entire cost of the project.  </w:t>
      </w:r>
      <w:r w:rsidR="007F4184">
        <w:rPr>
          <w:rFonts w:ascii="Times New Roman" w:eastAsia="Times New Roman" w:hAnsi="Times New Roman"/>
          <w:color w:val="auto"/>
          <w:sz w:val="24"/>
          <w:lang w:eastAsia="en-US" w:bidi="x-none"/>
        </w:rPr>
        <w:t>TMP Refining separate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>s</w:t>
      </w:r>
      <w:r w:rsidR="007F418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the precious metals contained within the CO catalyst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, </w:t>
      </w:r>
      <w:r w:rsidR="007F418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offering customers 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a final monetary return on their catalyst assets.  </w:t>
      </w:r>
    </w:p>
    <w:p w14:paraId="520770C3" w14:textId="77777777" w:rsidR="00ED5404" w:rsidRDefault="00ED5404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</w:p>
    <w:p w14:paraId="027DD723" w14:textId="53E2A22C" w:rsidR="009226A0" w:rsidRPr="00ED5404" w:rsidRDefault="003A57FB" w:rsidP="0086016E">
      <w:pPr>
        <w:rPr>
          <w:rFonts w:ascii="Times New Roman" w:eastAsia="Times New Roman" w:hAnsi="Times New Roman"/>
          <w:color w:val="auto"/>
          <w:sz w:val="24"/>
          <w:lang w:eastAsia="en-US" w:bidi="x-none"/>
        </w:rPr>
      </w:pPr>
      <w:r>
        <w:rPr>
          <w:rFonts w:ascii="Times New Roman" w:eastAsia="Times New Roman" w:hAnsi="Times New Roman"/>
          <w:noProof/>
          <w:color w:val="auto"/>
          <w:sz w:val="20"/>
          <w:lang w:eastAsia="en-US" w:bidi="x-none"/>
        </w:rPr>
        <w:lastRenderedPageBreak/>
        <w:drawing>
          <wp:anchor distT="0" distB="0" distL="114300" distR="114300" simplePos="0" relativeHeight="251660288" behindDoc="1" locked="0" layoutInCell="1" allowOverlap="1" wp14:anchorId="52FC51D6" wp14:editId="48FE9CE2">
            <wp:simplePos x="0" y="0"/>
            <wp:positionH relativeFrom="column">
              <wp:posOffset>-631825</wp:posOffset>
            </wp:positionH>
            <wp:positionV relativeFrom="paragraph">
              <wp:posOffset>438150</wp:posOffset>
            </wp:positionV>
            <wp:extent cx="3500755" cy="2625090"/>
            <wp:effectExtent l="6033" t="0" r="0" b="0"/>
            <wp:wrapTight wrapText="bothSides">
              <wp:wrapPolygon edited="0">
                <wp:start x="37" y="21650"/>
                <wp:lineTo x="21508" y="21650"/>
                <wp:lineTo x="21508" y="123"/>
                <wp:lineTo x="37" y="123"/>
                <wp:lineTo x="37" y="21650"/>
              </wp:wrapPolygon>
            </wp:wrapTight>
            <wp:docPr id="40923254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32543" name="Picture 40923254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500755" cy="2625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>TMP Refining completed the SCR catalyst and CO catalyst removal job within a week with no injuries or accidents reported.  TMP Refining provided all the equipment, labor, and project management to effectively complete the job on our customer’s timeline. TMP Refining had a project manager on site throughout the duration of the job managing the work of the cranes, 10 laborers, the analysis of the SCR catalyst</w:t>
      </w:r>
      <w:r w:rsidR="007613D1">
        <w:rPr>
          <w:rFonts w:ascii="Times New Roman" w:eastAsia="Times New Roman" w:hAnsi="Times New Roman"/>
          <w:color w:val="auto"/>
          <w:sz w:val="24"/>
          <w:lang w:eastAsia="en-US" w:bidi="x-none"/>
        </w:rPr>
        <w:t>, and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loading 4 truckloads of catalyst to be taken offsite. The entire project was completed on time, in a</w:t>
      </w:r>
      <w:r w:rsidR="007613D1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ccordance with OSHA 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regulations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>, and under budget.  After the completion of the project, TMP Refining was able to return $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8</w:t>
      </w:r>
      <w:r w:rsidR="00ED5404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0,000 </w:t>
      </w:r>
      <w:r w:rsidR="009A3370">
        <w:rPr>
          <w:rFonts w:ascii="Times New Roman" w:eastAsia="Times New Roman" w:hAnsi="Times New Roman"/>
          <w:color w:val="auto"/>
          <w:sz w:val="24"/>
          <w:lang w:eastAsia="en-US" w:bidi="x-none"/>
        </w:rPr>
        <w:t>of precious metal</w:t>
      </w:r>
      <w:r>
        <w:rPr>
          <w:rFonts w:ascii="Times New Roman" w:eastAsia="Times New Roman" w:hAnsi="Times New Roman"/>
          <w:color w:val="auto"/>
          <w:sz w:val="24"/>
          <w:lang w:eastAsia="en-US" w:bidi="x-none"/>
        </w:rPr>
        <w:t>s</w:t>
      </w:r>
      <w:r w:rsidR="009A3370">
        <w:rPr>
          <w:rFonts w:ascii="Times New Roman" w:eastAsia="Times New Roman" w:hAnsi="Times New Roman"/>
          <w:color w:val="auto"/>
          <w:sz w:val="24"/>
          <w:lang w:eastAsia="en-US" w:bidi="x-none"/>
        </w:rPr>
        <w:t xml:space="preserve"> to the customer that was recovered from the BASF CO catalyst.</w:t>
      </w:r>
    </w:p>
    <w:p w14:paraId="30B31B94" w14:textId="3E18AE47" w:rsidR="009226A0" w:rsidRDefault="009226A0" w:rsidP="0086016E">
      <w:pPr>
        <w:rPr>
          <w:rFonts w:ascii="Times New Roman" w:eastAsia="Times New Roman" w:hAnsi="Times New Roman"/>
          <w:color w:val="auto"/>
          <w:sz w:val="20"/>
          <w:lang w:eastAsia="en-US" w:bidi="x-none"/>
        </w:rPr>
      </w:pPr>
    </w:p>
    <w:sectPr w:rsidR="009226A0">
      <w:headerReference w:type="even" r:id="rId11"/>
      <w:headerReference w:type="default" r:id="rId12"/>
      <w:footerReference w:type="even" r:id="rId13"/>
      <w:footerReference w:type="default" r:id="rId14"/>
      <w:pgSz w:w="12240" w:h="15840"/>
      <w:pgMar w:top="1440" w:right="1440" w:bottom="1440" w:left="1440" w:header="1440" w:footer="14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CA5BC" w14:textId="77777777" w:rsidR="008B2015" w:rsidRDefault="008B2015">
      <w:r>
        <w:separator/>
      </w:r>
    </w:p>
  </w:endnote>
  <w:endnote w:type="continuationSeparator" w:id="0">
    <w:p w14:paraId="2CAE6F45" w14:textId="77777777" w:rsidR="008B2015" w:rsidRDefault="008B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ヒラギノ角ゴ Pro W3">
    <w:altName w:val="Yu Gothic"/>
    <w:panose1 w:val="020B0604020202020204"/>
    <w:charset w:val="80"/>
    <w:family w:val="swiss"/>
    <w:pitch w:val="variable"/>
    <w:sig w:usb0="E00002FF" w:usb1="7AC7FFFF" w:usb2="00000012" w:usb3="00000000" w:csb0="0002000D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 Bold Italic">
    <w:altName w:val="Times New Roman"/>
    <w:panose1 w:val="020B0604020202020204"/>
    <w:charset w:val="00"/>
    <w:family w:val="roman"/>
    <w:pitch w:val="default"/>
  </w:font>
  <w:font w:name="Times New Roman Bold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F168C" w14:textId="77777777" w:rsidR="00076C9B" w:rsidRDefault="00076C9B">
    <w:pPr>
      <w:pStyle w:val="FreeFormA"/>
      <w:rPr>
        <w:rFonts w:eastAsia="Times New Roman"/>
        <w:color w:val="auto"/>
        <w:lang w:eastAsia="en-US" w:bidi="x-none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0C83F" w14:textId="77777777" w:rsidR="00076C9B" w:rsidRDefault="00076C9B">
    <w:pPr>
      <w:pStyle w:val="FreeFormA"/>
      <w:rPr>
        <w:rFonts w:eastAsia="Times New Roman"/>
        <w:color w:val="auto"/>
        <w:lang w:eastAsia="en-US" w:bidi="x-non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82EA1" w14:textId="77777777" w:rsidR="008B2015" w:rsidRDefault="008B2015">
      <w:r>
        <w:separator/>
      </w:r>
    </w:p>
  </w:footnote>
  <w:footnote w:type="continuationSeparator" w:id="0">
    <w:p w14:paraId="4127BEAC" w14:textId="77777777" w:rsidR="008B2015" w:rsidRDefault="008B20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373647" w14:textId="77777777" w:rsidR="00076C9B" w:rsidRDefault="00076C9B">
    <w:pPr>
      <w:pStyle w:val="Header1"/>
      <w:jc w:val="center"/>
      <w:rPr>
        <w:rFonts w:ascii="Times New Roman Bold Italic" w:hAnsi="Times New Roman Bold Italic"/>
        <w:sz w:val="56"/>
        <w:u w:val="double"/>
      </w:rPr>
    </w:pPr>
    <w:r>
      <w:rPr>
        <w:rFonts w:ascii="Times New Roman Bold Italic" w:hAnsi="Times New Roman Bold Italic"/>
        <w:sz w:val="56"/>
        <w:u w:val="double"/>
      </w:rPr>
      <w:t>TMP REFINING CORP</w:t>
    </w:r>
  </w:p>
  <w:p w14:paraId="692A09CC" w14:textId="77777777" w:rsidR="00076C9B" w:rsidRDefault="00076C9B">
    <w:pPr>
      <w:pStyle w:val="Header1"/>
      <w:jc w:val="center"/>
      <w:rPr>
        <w:rFonts w:ascii="Times New Roman Bold Italic" w:hAnsi="Times New Roman Bold Italic"/>
        <w:sz w:val="24"/>
        <w:u w:val="double"/>
      </w:rPr>
    </w:pPr>
  </w:p>
  <w:p w14:paraId="0CC6D1CF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r>
      <w:rPr>
        <w:rFonts w:ascii="Times New Roman Bold" w:hAnsi="Times New Roman Bold"/>
        <w:sz w:val="24"/>
      </w:rPr>
      <w:t>23 Long Lane</w:t>
    </w:r>
  </w:p>
  <w:p w14:paraId="426BA347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r>
      <w:rPr>
        <w:rFonts w:ascii="Times New Roman Bold" w:hAnsi="Times New Roman Bold"/>
        <w:sz w:val="24"/>
      </w:rPr>
      <w:t>Malvern, PA  19355</w:t>
    </w:r>
  </w:p>
  <w:p w14:paraId="3663B3A9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r>
      <w:rPr>
        <w:rFonts w:ascii="Times New Roman Bold" w:hAnsi="Times New Roman Bold"/>
        <w:sz w:val="24"/>
      </w:rPr>
      <w:t xml:space="preserve">610-761-1542 </w:t>
    </w:r>
  </w:p>
  <w:p w14:paraId="29F01E35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hyperlink r:id="rId1" w:history="1">
      <w:r>
        <w:rPr>
          <w:rStyle w:val="Hyperlink1"/>
          <w:rFonts w:ascii="Times New Roman Bold" w:hAnsi="Times New Roman Bold"/>
          <w:sz w:val="24"/>
        </w:rPr>
        <w:t>PARVESSE@TMPREFINING.COM</w:t>
      </w:r>
    </w:hyperlink>
  </w:p>
  <w:p w14:paraId="7BC3997D" w14:textId="77777777" w:rsidR="00076C9B" w:rsidRDefault="00076C9B">
    <w:pPr>
      <w:pStyle w:val="Header1"/>
      <w:jc w:val="center"/>
      <w:rPr>
        <w:rFonts w:ascii="Times New Roman" w:eastAsia="Times New Roman" w:hAnsi="Times New Roman"/>
        <w:color w:val="auto"/>
        <w:sz w:val="20"/>
        <w:lang w:val="en-US" w:eastAsia="en-US" w:bidi="x-none"/>
      </w:rPr>
    </w:pPr>
    <w:r>
      <w:rPr>
        <w:rFonts w:ascii="Times New Roman Bold" w:hAnsi="Times New Roman Bold"/>
        <w:sz w:val="24"/>
        <w:u w:val="single"/>
      </w:rPr>
      <w:t xml:space="preserve">______________________________________________________________________________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D053B" w14:textId="77777777" w:rsidR="00076C9B" w:rsidRDefault="00076C9B">
    <w:pPr>
      <w:pStyle w:val="Header1"/>
      <w:jc w:val="center"/>
      <w:rPr>
        <w:rFonts w:ascii="Times New Roman Bold Italic" w:hAnsi="Times New Roman Bold Italic"/>
        <w:sz w:val="56"/>
        <w:u w:val="double"/>
      </w:rPr>
    </w:pPr>
    <w:r>
      <w:rPr>
        <w:rFonts w:ascii="Times New Roman Bold Italic" w:hAnsi="Times New Roman Bold Italic"/>
        <w:sz w:val="56"/>
        <w:u w:val="double"/>
      </w:rPr>
      <w:t>TMP REFINING CORP</w:t>
    </w:r>
  </w:p>
  <w:p w14:paraId="2B3EA112" w14:textId="77777777" w:rsidR="00076C9B" w:rsidRDefault="00076C9B">
    <w:pPr>
      <w:pStyle w:val="Header1"/>
      <w:jc w:val="center"/>
      <w:rPr>
        <w:rFonts w:ascii="Times New Roman Bold Italic" w:hAnsi="Times New Roman Bold Italic"/>
        <w:sz w:val="24"/>
        <w:u w:val="double"/>
      </w:rPr>
    </w:pPr>
  </w:p>
  <w:p w14:paraId="1CB5F3F3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r>
      <w:rPr>
        <w:rFonts w:ascii="Times New Roman Bold" w:hAnsi="Times New Roman Bold"/>
        <w:sz w:val="24"/>
      </w:rPr>
      <w:t>23 Long Lane</w:t>
    </w:r>
  </w:p>
  <w:p w14:paraId="0B5C84E7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r>
      <w:rPr>
        <w:rFonts w:ascii="Times New Roman Bold" w:hAnsi="Times New Roman Bold"/>
        <w:sz w:val="24"/>
      </w:rPr>
      <w:t>Malvern, PA  19355</w:t>
    </w:r>
  </w:p>
  <w:p w14:paraId="77633A4D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r>
      <w:rPr>
        <w:rFonts w:ascii="Times New Roman Bold" w:hAnsi="Times New Roman Bold"/>
        <w:sz w:val="24"/>
      </w:rPr>
      <w:t xml:space="preserve">610-761-1542 </w:t>
    </w:r>
  </w:p>
  <w:p w14:paraId="34C09881" w14:textId="77777777" w:rsidR="00076C9B" w:rsidRDefault="00076C9B">
    <w:pPr>
      <w:pStyle w:val="Header1"/>
      <w:jc w:val="center"/>
      <w:rPr>
        <w:rFonts w:ascii="Times New Roman Bold" w:hAnsi="Times New Roman Bold"/>
        <w:sz w:val="24"/>
      </w:rPr>
    </w:pPr>
    <w:hyperlink r:id="rId1" w:history="1">
      <w:r>
        <w:rPr>
          <w:rStyle w:val="Hyperlink1"/>
          <w:rFonts w:ascii="Times New Roman Bold" w:hAnsi="Times New Roman Bold"/>
          <w:sz w:val="24"/>
        </w:rPr>
        <w:t>PARVESSE@TMPREFINING.COM</w:t>
      </w:r>
    </w:hyperlink>
  </w:p>
  <w:p w14:paraId="5BA7625B" w14:textId="77777777" w:rsidR="00076C9B" w:rsidRDefault="00076C9B">
    <w:pPr>
      <w:pStyle w:val="Header1"/>
      <w:jc w:val="center"/>
      <w:rPr>
        <w:rFonts w:ascii="Times New Roman" w:eastAsia="Times New Roman" w:hAnsi="Times New Roman"/>
        <w:color w:val="auto"/>
        <w:sz w:val="20"/>
        <w:lang w:val="en-US" w:eastAsia="en-US" w:bidi="x-none"/>
      </w:rPr>
    </w:pPr>
    <w:r>
      <w:rPr>
        <w:rFonts w:ascii="Times New Roman Bold" w:hAnsi="Times New Roman Bold"/>
        <w:sz w:val="24"/>
        <w:u w:val="single"/>
      </w:rPr>
      <w:t xml:space="preserve">____________________________________________________________________________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894EE873"/>
    <w:lvl w:ilvl="0">
      <w:start w:val="4"/>
      <w:numFmt w:val="decimal"/>
      <w:isLgl/>
      <w:lvlText w:val="%1."/>
      <w:lvlJc w:val="left"/>
      <w:pPr>
        <w:tabs>
          <w:tab w:val="num" w:pos="560"/>
        </w:tabs>
        <w:ind w:left="560" w:firstLine="0"/>
      </w:pPr>
      <w:rPr>
        <w:rFonts w:hint="default"/>
        <w:position w:val="0"/>
        <w:sz w:val="22"/>
      </w:rPr>
    </w:lvl>
    <w:lvl w:ilvl="1">
      <w:start w:val="1"/>
      <w:numFmt w:val="lowerLetter"/>
      <w:suff w:val="nothing"/>
      <w:lvlText w:val="%2."/>
      <w:lvlJc w:val="left"/>
      <w:pPr>
        <w:ind w:left="0" w:firstLine="920"/>
      </w:pPr>
      <w:rPr>
        <w:rFonts w:hint="default"/>
        <w:position w:val="0"/>
        <w:sz w:val="22"/>
      </w:rPr>
    </w:lvl>
    <w:lvl w:ilvl="2">
      <w:start w:val="1"/>
      <w:numFmt w:val="lowerRoman"/>
      <w:suff w:val="nothing"/>
      <w:lvlText w:val="%3."/>
      <w:lvlJc w:val="left"/>
      <w:pPr>
        <w:ind w:left="0" w:firstLine="1280"/>
      </w:pPr>
      <w:rPr>
        <w:rFonts w:hint="default"/>
        <w:position w:val="0"/>
        <w:sz w:val="22"/>
      </w:rPr>
    </w:lvl>
    <w:lvl w:ilvl="3">
      <w:start w:val="1"/>
      <w:numFmt w:val="decimal"/>
      <w:isLgl/>
      <w:suff w:val="nothing"/>
      <w:lvlText w:val="%4."/>
      <w:lvlJc w:val="left"/>
      <w:pPr>
        <w:ind w:left="0" w:firstLine="1640"/>
      </w:pPr>
      <w:rPr>
        <w:rFonts w:hint="default"/>
        <w:position w:val="0"/>
        <w:sz w:val="22"/>
      </w:rPr>
    </w:lvl>
    <w:lvl w:ilvl="4">
      <w:start w:val="1"/>
      <w:numFmt w:val="lowerLetter"/>
      <w:suff w:val="nothing"/>
      <w:lvlText w:val="%5."/>
      <w:lvlJc w:val="left"/>
      <w:pPr>
        <w:ind w:left="0" w:firstLine="2000"/>
      </w:pPr>
      <w:rPr>
        <w:rFonts w:hint="default"/>
        <w:position w:val="0"/>
        <w:sz w:val="22"/>
      </w:rPr>
    </w:lvl>
    <w:lvl w:ilvl="5">
      <w:start w:val="1"/>
      <w:numFmt w:val="lowerRoman"/>
      <w:suff w:val="nothing"/>
      <w:lvlText w:val="%6."/>
      <w:lvlJc w:val="left"/>
      <w:pPr>
        <w:ind w:left="0" w:firstLine="2360"/>
      </w:pPr>
      <w:rPr>
        <w:rFonts w:hint="default"/>
        <w:position w:val="0"/>
        <w:sz w:val="22"/>
      </w:rPr>
    </w:lvl>
    <w:lvl w:ilvl="6">
      <w:start w:val="1"/>
      <w:numFmt w:val="decimal"/>
      <w:isLgl/>
      <w:suff w:val="nothing"/>
      <w:lvlText w:val="%7."/>
      <w:lvlJc w:val="left"/>
      <w:pPr>
        <w:ind w:left="0" w:firstLine="2720"/>
      </w:pPr>
      <w:rPr>
        <w:rFonts w:hint="default"/>
        <w:position w:val="0"/>
        <w:sz w:val="22"/>
      </w:rPr>
    </w:lvl>
    <w:lvl w:ilvl="7">
      <w:start w:val="1"/>
      <w:numFmt w:val="lowerLetter"/>
      <w:suff w:val="nothing"/>
      <w:lvlText w:val="%8."/>
      <w:lvlJc w:val="left"/>
      <w:pPr>
        <w:ind w:left="0" w:firstLine="3080"/>
      </w:pPr>
      <w:rPr>
        <w:rFonts w:hint="default"/>
        <w:position w:val="0"/>
        <w:sz w:val="22"/>
      </w:rPr>
    </w:lvl>
    <w:lvl w:ilvl="8">
      <w:start w:val="1"/>
      <w:numFmt w:val="lowerRoman"/>
      <w:suff w:val="nothing"/>
      <w:lvlText w:val="%9."/>
      <w:lvlJc w:val="left"/>
      <w:pPr>
        <w:ind w:left="0" w:firstLine="3440"/>
      </w:pPr>
      <w:rPr>
        <w:rFonts w:hint="default"/>
        <w:position w:val="0"/>
        <w:sz w:val="22"/>
      </w:rPr>
    </w:lvl>
  </w:abstractNum>
  <w:num w:numId="1" w16cid:durableId="20618965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F64"/>
    <w:rsid w:val="00040BF8"/>
    <w:rsid w:val="000577C8"/>
    <w:rsid w:val="00076C9B"/>
    <w:rsid w:val="00134753"/>
    <w:rsid w:val="001811ED"/>
    <w:rsid w:val="00227BF9"/>
    <w:rsid w:val="00242065"/>
    <w:rsid w:val="002A0122"/>
    <w:rsid w:val="002F15BD"/>
    <w:rsid w:val="00321452"/>
    <w:rsid w:val="00386490"/>
    <w:rsid w:val="003A57FB"/>
    <w:rsid w:val="003A6C8A"/>
    <w:rsid w:val="004C12AD"/>
    <w:rsid w:val="005F1293"/>
    <w:rsid w:val="00666F64"/>
    <w:rsid w:val="00690EB0"/>
    <w:rsid w:val="00735A7B"/>
    <w:rsid w:val="007613D1"/>
    <w:rsid w:val="007E7CFA"/>
    <w:rsid w:val="007F4184"/>
    <w:rsid w:val="0086016E"/>
    <w:rsid w:val="008B2015"/>
    <w:rsid w:val="009226A0"/>
    <w:rsid w:val="009A14BC"/>
    <w:rsid w:val="009A3370"/>
    <w:rsid w:val="00A46A0D"/>
    <w:rsid w:val="00B34B8F"/>
    <w:rsid w:val="00C45747"/>
    <w:rsid w:val="00C60338"/>
    <w:rsid w:val="00CC1187"/>
    <w:rsid w:val="00D67941"/>
    <w:rsid w:val="00EB2AD8"/>
    <w:rsid w:val="00ED5404"/>
    <w:rsid w:val="00EF6F98"/>
    <w:rsid w:val="00F019BF"/>
    <w:rsid w:val="00F53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33CFF8A2"/>
  <w15:chartTrackingRefBased/>
  <w15:docId w15:val="{798C7E04-A225-D746-A782-43F29A290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eastAsia="ヒラギノ角ゴ Pro W3" w:hAnsi="Arial"/>
      <w:color w:val="000000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Header1">
    <w:name w:val="Header1"/>
    <w:pPr>
      <w:tabs>
        <w:tab w:val="center" w:pos="4320"/>
        <w:tab w:val="right" w:pos="8640"/>
      </w:tabs>
    </w:pPr>
    <w:rPr>
      <w:rFonts w:ascii="Arial" w:eastAsia="ヒラギノ角ゴ Pro W3" w:hAnsi="Arial"/>
      <w:color w:val="000000"/>
      <w:sz w:val="22"/>
    </w:rPr>
  </w:style>
  <w:style w:type="character" w:customStyle="1" w:styleId="Hyperlink1">
    <w:name w:val="Hyperlink1"/>
    <w:rPr>
      <w:color w:val="0A0A0A"/>
      <w:sz w:val="20"/>
      <w:u w:val="single"/>
    </w:rPr>
  </w:style>
  <w:style w:type="paragraph" w:customStyle="1" w:styleId="FreeFormA">
    <w:name w:val="Free Form A"/>
    <w:rPr>
      <w:rFonts w:eastAsia="ヒラギノ角ゴ Pro W3"/>
      <w:color w:val="000000"/>
      <w:lang w:val="en-US"/>
    </w:rPr>
  </w:style>
  <w:style w:type="paragraph" w:customStyle="1" w:styleId="HTMLPreformatted1">
    <w:name w:val="HTML Preformatted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customStyle="1" w:styleId="FreeFormB">
    <w:name w:val="Free Form B"/>
    <w:rPr>
      <w:rFonts w:eastAsia="ヒラギノ角ゴ Pro W3"/>
      <w:color w:val="000000"/>
      <w:lang w:val="en-US"/>
    </w:rPr>
  </w:style>
  <w:style w:type="character" w:styleId="Hyperlink">
    <w:name w:val="Hyperlink"/>
    <w:locked/>
    <w:rsid w:val="002A0122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2A01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pixelsPerInch w:val="72"/>
  <w:targetScreenSz w:val="544x376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hyperlink" Target="http://www.dtsc.ca.gov/HazardousWaste/index-old.cfm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RVESSE@TMPREFINING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RVESSE@TMPREFINING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747</Words>
  <Characters>4258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Purchase Order Number:</vt:lpstr>
    </vt:vector>
  </TitlesOfParts>
  <Company/>
  <LinksUpToDate>false</LinksUpToDate>
  <CharactersWithSpaces>4996</CharactersWithSpaces>
  <SharedDoc>false</SharedDoc>
  <HLinks>
    <vt:vector size="18" baseType="variant">
      <vt:variant>
        <vt:i4>2490407</vt:i4>
      </vt:variant>
      <vt:variant>
        <vt:i4>0</vt:i4>
      </vt:variant>
      <vt:variant>
        <vt:i4>0</vt:i4>
      </vt:variant>
      <vt:variant>
        <vt:i4>5</vt:i4>
      </vt:variant>
      <vt:variant>
        <vt:lpwstr>http://www.dtsc.ca.gov/HazardousWaste/index-old.cfm</vt:lpwstr>
      </vt:variant>
      <vt:variant>
        <vt:lpwstr/>
      </vt:variant>
      <vt:variant>
        <vt:i4>917550</vt:i4>
      </vt:variant>
      <vt:variant>
        <vt:i4>3</vt:i4>
      </vt:variant>
      <vt:variant>
        <vt:i4>0</vt:i4>
      </vt:variant>
      <vt:variant>
        <vt:i4>5</vt:i4>
      </vt:variant>
      <vt:variant>
        <vt:lpwstr>mailto:PARVESSE@TMPREFINING.COM</vt:lpwstr>
      </vt:variant>
      <vt:variant>
        <vt:lpwstr/>
      </vt:variant>
      <vt:variant>
        <vt:i4>917550</vt:i4>
      </vt:variant>
      <vt:variant>
        <vt:i4>0</vt:i4>
      </vt:variant>
      <vt:variant>
        <vt:i4>0</vt:i4>
      </vt:variant>
      <vt:variant>
        <vt:i4>5</vt:i4>
      </vt:variant>
      <vt:variant>
        <vt:lpwstr>mailto:PARVESSE@TMPREFINING.COM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Purchase Order Number:</dc:title>
  <dc:subject/>
  <dc:creator>thomas parvesse</dc:creator>
  <cp:keywords/>
  <cp:lastModifiedBy>Thomas Parvesse</cp:lastModifiedBy>
  <cp:revision>2</cp:revision>
  <dcterms:created xsi:type="dcterms:W3CDTF">2026-03-11T14:06:00Z</dcterms:created>
  <dcterms:modified xsi:type="dcterms:W3CDTF">2026-03-11T14:06:00Z</dcterms:modified>
</cp:coreProperties>
</file>